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pPr w:leftFromText="142" w:rightFromText="142" w:horzAnchor="margin" w:tblpYSpec="bottom"/>
        <w:tblW w:w="15593" w:type="dxa"/>
        <w:tblInd w:w="0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2"/>
        <w:gridCol w:w="2122"/>
        <w:gridCol w:w="3414"/>
        <w:gridCol w:w="3703"/>
        <w:gridCol w:w="2109"/>
      </w:tblGrid>
      <w:tr w:rsidR="00045203" w:rsidTr="00A33C3A">
        <w:trPr>
          <w:trHeight w:val="454"/>
        </w:trPr>
        <w:tc>
          <w:tcPr>
            <w:tcW w:w="2123" w:type="dxa"/>
            <w:vMerge w:val="restart"/>
          </w:tcPr>
          <w:p w:rsidR="00045203" w:rsidRDefault="00F32CD3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Hlk10913383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0530E7EA" wp14:editId="403D9C4D">
                  <wp:simplePos x="0" y="0"/>
                  <wp:positionH relativeFrom="column">
                    <wp:posOffset>-70909</wp:posOffset>
                  </wp:positionH>
                  <wp:positionV relativeFrom="paragraph">
                    <wp:posOffset>290407</wp:posOffset>
                  </wp:positionV>
                  <wp:extent cx="1796415" cy="359410"/>
                  <wp:effectExtent l="0" t="0" r="0" b="254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70" w:type="dxa"/>
            <w:gridSpan w:val="5"/>
          </w:tcPr>
          <w:p w:rsidR="00045203" w:rsidRPr="007163FA" w:rsidRDefault="00045203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7163FA">
              <w:rPr>
                <w:rFonts w:asciiTheme="majorHAnsi" w:hAnsiTheme="majorHAnsi"/>
                <w:b/>
                <w:sz w:val="40"/>
                <w:szCs w:val="40"/>
              </w:rPr>
              <w:t>CONCOURS NATIONAL D’ENSEMBLES MUSICAUX</w:t>
            </w:r>
          </w:p>
        </w:tc>
      </w:tr>
      <w:tr w:rsidR="00045203" w:rsidTr="00A33C3A">
        <w:trPr>
          <w:trHeight w:val="454"/>
        </w:trPr>
        <w:tc>
          <w:tcPr>
            <w:tcW w:w="2123" w:type="dxa"/>
            <w:vMerge/>
          </w:tcPr>
          <w:p w:rsidR="00045203" w:rsidRDefault="00045203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470" w:type="dxa"/>
            <w:gridSpan w:val="5"/>
          </w:tcPr>
          <w:p w:rsidR="00045203" w:rsidRDefault="00045203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40"/>
                <w:szCs w:val="40"/>
              </w:rPr>
              <w:t xml:space="preserve">Référentiel </w:t>
            </w:r>
            <w:r w:rsidRPr="004A7738">
              <w:rPr>
                <w:rFonts w:asciiTheme="majorHAnsi" w:hAnsiTheme="majorHAnsi"/>
                <w:b/>
                <w:sz w:val="40"/>
                <w:szCs w:val="40"/>
              </w:rPr>
              <w:t>d'évaluation</w:t>
            </w:r>
            <w:bookmarkStart w:id="1" w:name="_GoBack"/>
            <w:bookmarkEnd w:id="1"/>
          </w:p>
        </w:tc>
      </w:tr>
      <w:tr w:rsidR="00045203" w:rsidTr="00560F93">
        <w:trPr>
          <w:trHeight w:val="454"/>
        </w:trPr>
        <w:tc>
          <w:tcPr>
            <w:tcW w:w="2123" w:type="dxa"/>
            <w:vMerge/>
          </w:tcPr>
          <w:p w:rsidR="00045203" w:rsidRDefault="00045203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3470" w:type="dxa"/>
            <w:gridSpan w:val="5"/>
            <w:vAlign w:val="center"/>
          </w:tcPr>
          <w:p w:rsidR="00045203" w:rsidRPr="00560F93" w:rsidRDefault="00560F93" w:rsidP="00535140">
            <w:pPr>
              <w:spacing w:line="240" w:lineRule="auto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  <w:r w:rsidRPr="00560F93">
              <w:rPr>
                <w:rFonts w:asciiTheme="majorHAnsi" w:hAnsiTheme="majorHAnsi"/>
                <w:b/>
                <w:sz w:val="12"/>
                <w:szCs w:val="12"/>
              </w:rPr>
              <w:t xml:space="preserve">Fiche </w:t>
            </w:r>
            <w:r>
              <w:rPr>
                <w:rFonts w:asciiTheme="majorHAnsi" w:hAnsiTheme="majorHAnsi"/>
                <w:b/>
                <w:sz w:val="12"/>
                <w:szCs w:val="12"/>
              </w:rPr>
              <w:t>à remettre à</w:t>
            </w:r>
            <w:r w:rsidRPr="00560F93">
              <w:rPr>
                <w:rFonts w:asciiTheme="majorHAnsi" w:hAnsiTheme="majorHAnsi"/>
                <w:b/>
                <w:sz w:val="12"/>
                <w:szCs w:val="12"/>
              </w:rPr>
              <w:t xml:space="preserve"> chaque membre du jury</w:t>
            </w:r>
            <w:r w:rsidR="002A1A6A">
              <w:rPr>
                <w:rFonts w:asciiTheme="majorHAnsi" w:hAnsiTheme="majorHAnsi"/>
                <w:b/>
                <w:sz w:val="12"/>
                <w:szCs w:val="12"/>
              </w:rPr>
              <w:t xml:space="preserve"> pour son évaluation personnelle - Une fiche par ensemble musical - Non remise aux ensembles musicaux conformément au déroulement de l’évaluation</w:t>
            </w:r>
          </w:p>
        </w:tc>
      </w:tr>
      <w:tr w:rsidR="002A1A6A" w:rsidTr="002A1A6A">
        <w:trPr>
          <w:trHeight w:val="57"/>
        </w:trPr>
        <w:tc>
          <w:tcPr>
            <w:tcW w:w="15593" w:type="dxa"/>
            <w:gridSpan w:val="6"/>
            <w:tcBorders>
              <w:bottom w:val="single" w:sz="4" w:space="0" w:color="auto"/>
            </w:tcBorders>
          </w:tcPr>
          <w:p w:rsidR="002A1A6A" w:rsidRDefault="002A1A6A" w:rsidP="0053514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32CD3" w:rsidTr="00F32CD3">
        <w:trPr>
          <w:trHeight w:val="57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3" w:rsidRDefault="00F32CD3" w:rsidP="00F32C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1613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Nom de l'ensemble : </w:t>
            </w:r>
          </w:p>
        </w:tc>
      </w:tr>
      <w:tr w:rsidR="00F32CD3" w:rsidTr="00F32CD3">
        <w:trPr>
          <w:trHeight w:val="5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3" w:rsidRDefault="00F32CD3" w:rsidP="00F32C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Catégorie</w:t>
            </w:r>
            <w:r w:rsidRPr="001613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dans l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16134A">
              <w:rPr>
                <w:rFonts w:asciiTheme="majorHAnsi" w:hAnsiTheme="majorHAnsi" w:cstheme="majorHAnsi"/>
                <w:b/>
                <w:sz w:val="20"/>
                <w:szCs w:val="20"/>
              </w:rPr>
              <w:t>quel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le</w:t>
            </w:r>
            <w:r w:rsidRPr="001613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 présente l’ensemble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6134A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3" w:rsidRDefault="00F32CD3" w:rsidP="00F32CD3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1613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Nombre de musiciens présents lors du concours :  </w:t>
            </w:r>
          </w:p>
        </w:tc>
      </w:tr>
      <w:tr w:rsidR="00F32CD3" w:rsidTr="00A33C3A">
        <w:trPr>
          <w:trHeight w:val="57"/>
        </w:trPr>
        <w:tc>
          <w:tcPr>
            <w:tcW w:w="15593" w:type="dxa"/>
            <w:gridSpan w:val="6"/>
            <w:tcBorders>
              <w:bottom w:val="single" w:sz="4" w:space="0" w:color="auto"/>
            </w:tcBorders>
          </w:tcPr>
          <w:p w:rsidR="00F32CD3" w:rsidRDefault="00F32CD3" w:rsidP="0053514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A4D0F" w:rsidTr="00A33C3A">
        <w:trPr>
          <w:trHeight w:val="98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Pr="002A1A6A" w:rsidRDefault="005A4D0F" w:rsidP="0053514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A1A6A">
              <w:rPr>
                <w:rFonts w:ascii="Calibri" w:eastAsia="Calibri" w:hAnsi="Calibri" w:cs="Calibri"/>
                <w:sz w:val="20"/>
                <w:szCs w:val="20"/>
              </w:rPr>
              <w:t>Ce référentiel est destiné à chaque membre de jury qui y porte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>, pour chaque objet observ</w:t>
            </w:r>
            <w:r w:rsidR="0036644C" w:rsidRPr="002A1A6A"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qui lui semble pertinent, 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ses </w:t>
            </w:r>
            <w:r w:rsidR="004F61CD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commentaires et 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appréciations 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>personnelles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5A4D0F" w:rsidRPr="002A1A6A" w:rsidRDefault="005A4D0F" w:rsidP="00535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Le Président, après concertation et en accord avec 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>chaque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membre de jury, rédige </w:t>
            </w:r>
            <w:r w:rsidR="0036644C" w:rsidRPr="002A1A6A">
              <w:rPr>
                <w:rFonts w:ascii="Calibri" w:eastAsia="Calibri" w:hAnsi="Calibri" w:cs="Calibri"/>
                <w:sz w:val="20"/>
                <w:szCs w:val="20"/>
              </w:rPr>
              <w:t>sur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r w:rsidR="00F32CD3">
              <w:rPr>
                <w:rFonts w:ascii="Calibri" w:eastAsia="Calibri" w:hAnsi="Calibri" w:cs="Calibri"/>
                <w:sz w:val="20"/>
                <w:szCs w:val="20"/>
              </w:rPr>
              <w:t>feuille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d’évaluation 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la synthèse des commentaires </w:t>
            </w:r>
            <w:r w:rsidR="00EA0F20" w:rsidRPr="002A1A6A">
              <w:rPr>
                <w:rFonts w:ascii="Calibri" w:eastAsia="Calibri" w:hAnsi="Calibri" w:cs="Calibri"/>
                <w:sz w:val="20"/>
                <w:szCs w:val="20"/>
              </w:rPr>
              <w:t>faisant consensus</w:t>
            </w:r>
            <w:r w:rsidR="00137EF4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>et attribue l'appréciation globale définitive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, en </w:t>
            </w:r>
            <w:r w:rsidR="008F591B" w:rsidRPr="002A1A6A">
              <w:rPr>
                <w:rFonts w:ascii="Calibri" w:eastAsia="Calibri" w:hAnsi="Calibri" w:cs="Calibri"/>
                <w:sz w:val="20"/>
                <w:szCs w:val="20"/>
              </w:rPr>
              <w:t>adéquation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avec</w:t>
            </w:r>
            <w:r w:rsidR="00EA0F20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les commentaires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A0F20" w:rsidRPr="002A1A6A">
              <w:rPr>
                <w:rFonts w:ascii="Calibri" w:eastAsia="Calibri" w:hAnsi="Calibri" w:cs="Calibri"/>
                <w:sz w:val="20"/>
                <w:szCs w:val="20"/>
              </w:rPr>
              <w:t>retenus pour</w:t>
            </w:r>
            <w:r w:rsidR="0036644C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chaque</w:t>
            </w:r>
            <w:r w:rsidR="00045203"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objet observé.</w:t>
            </w:r>
          </w:p>
          <w:p w:rsidR="00045203" w:rsidRPr="002A1A6A" w:rsidRDefault="00045203" w:rsidP="00535140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A1A6A">
              <w:rPr>
                <w:rFonts w:ascii="Calibri" w:eastAsia="Calibri" w:hAnsi="Calibri" w:cs="Calibri"/>
                <w:sz w:val="20"/>
                <w:szCs w:val="20"/>
              </w:rPr>
              <w:t>Eléments de vocabulaire :</w:t>
            </w:r>
          </w:p>
          <w:p w:rsidR="005A4D0F" w:rsidRDefault="00F32CD3" w:rsidP="00F32CD3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>valuer = extraire la valeur d’une prestation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>Objet observé - Critère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 : 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>ce sur quoi on porte un jugement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>Indicateur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 :</w:t>
            </w:r>
            <w:r w:rsidRPr="002A1A6A">
              <w:rPr>
                <w:rFonts w:ascii="Calibri" w:eastAsia="Calibri" w:hAnsi="Calibri" w:cs="Calibri"/>
                <w:sz w:val="20"/>
                <w:szCs w:val="20"/>
              </w:rPr>
              <w:t xml:space="preserve"> réalité tangible et mesurable qui permet d’asseoir son jugement</w:t>
            </w:r>
          </w:p>
        </w:tc>
      </w:tr>
      <w:tr w:rsidR="005A4D0F" w:rsidTr="00A33C3A">
        <w:trPr>
          <w:trHeight w:val="57"/>
        </w:trPr>
        <w:tc>
          <w:tcPr>
            <w:tcW w:w="1559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4D0F" w:rsidRDefault="005A4D0F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37EF4" w:rsidTr="00A33C3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F4" w:rsidRDefault="00137EF4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 OBSERVÉ - CRITERE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F4" w:rsidRDefault="00137EF4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INDICATEUR POSSIBLE</w:t>
            </w:r>
          </w:p>
          <w:p w:rsidR="00137EF4" w:rsidRDefault="00137EF4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Lors de l’audition</w:t>
            </w:r>
          </w:p>
          <w:p w:rsidR="00137EF4" w:rsidRDefault="00137EF4" w:rsidP="0053514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(liste ouverte)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F4" w:rsidRDefault="00137EF4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INDICATEUR POSSIBLE</w:t>
            </w:r>
          </w:p>
          <w:p w:rsidR="00137EF4" w:rsidRDefault="00137EF4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Lors de l’entretien</w:t>
            </w:r>
          </w:p>
          <w:p w:rsidR="00137EF4" w:rsidRDefault="00137EF4" w:rsidP="0053514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(liste ouverte)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F4" w:rsidRDefault="00137EF4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COMMENTAIRE</w:t>
            </w:r>
          </w:p>
          <w:p w:rsidR="00EA0F20" w:rsidRPr="00EA0F20" w:rsidRDefault="00EA0F20" w:rsidP="0053514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A0F20">
              <w:rPr>
                <w:rFonts w:ascii="Calibri" w:eastAsia="Calibri" w:hAnsi="Calibri" w:cs="Calibri"/>
                <w:b/>
                <w:sz w:val="20"/>
                <w:szCs w:val="20"/>
              </w:rPr>
              <w:t>Point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EA0F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positif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EA0F20">
              <w:rPr>
                <w:rFonts w:ascii="Calibri" w:eastAsia="Calibri" w:hAnsi="Calibri" w:cs="Calibri"/>
                <w:b/>
                <w:sz w:val="20"/>
                <w:szCs w:val="20"/>
              </w:rPr>
              <w:t>/qualité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 w:rsidRPr="00EA0F2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et points à améliorer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EF4" w:rsidRDefault="00137EF4" w:rsidP="00535140">
            <w:pPr>
              <w:tabs>
                <w:tab w:val="left" w:pos="338"/>
                <w:tab w:val="center" w:pos="2442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APPRÉCIATION</w:t>
            </w:r>
          </w:p>
          <w:p w:rsidR="00137EF4" w:rsidRDefault="00EA0F20" w:rsidP="00535140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="00137EF4" w:rsidRPr="00045203">
              <w:rPr>
                <w:rFonts w:ascii="Calibri" w:eastAsia="Calibri" w:hAnsi="Calibri" w:cs="Calibri"/>
                <w:b/>
                <w:sz w:val="20"/>
                <w:szCs w:val="20"/>
              </w:rPr>
              <w:t>rès bien, bien, assez bien, insuffisant</w:t>
            </w:r>
          </w:p>
        </w:tc>
      </w:tr>
      <w:tr w:rsidR="005A4D0F" w:rsidTr="00A33C3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A33C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 CHOIX PROGRAMME / NIVEAU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4D0F" w:rsidTr="00D31442">
        <w:trPr>
          <w:trHeight w:val="14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1-1 Pertinence du choix des œuvres et de leur complémentarité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Variété du caractère des pièces</w:t>
            </w:r>
          </w:p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Utilisation ou non </w:t>
            </w:r>
            <w:r w:rsidR="00AF27EE">
              <w:rPr>
                <w:rFonts w:ascii="Calibri" w:eastAsia="Calibri" w:hAnsi="Calibri" w:cs="Calibri"/>
                <w:sz w:val="20"/>
              </w:rPr>
              <w:t>du Répertoire d’œuvres CMF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Pr="00045203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4D0F" w:rsidTr="00D31442">
        <w:trPr>
          <w:trHeight w:val="14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1-2 Pertinence du choix de la division (par le chef)</w:t>
            </w:r>
          </w:p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Effectif adéquat</w:t>
            </w:r>
          </w:p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Niveau des musiciens adapté ou pas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Appel ou non à un « conseil » extérieur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A4D0F" w:rsidTr="00D505D8">
        <w:trPr>
          <w:trHeight w:val="14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1-3 Pertinence de l’ordre du programme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Niveau des difficultés physiques des œuvres </w:t>
            </w:r>
          </w:p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(fatigue des musiciens)</w:t>
            </w:r>
          </w:p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Intérêt pour le spectateur</w:t>
            </w:r>
          </w:p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Cohérence des enchaînements des oeuvres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31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Justification des enchaînements des oeuvres</w:t>
            </w:r>
          </w:p>
          <w:p w:rsidR="00FB2931" w:rsidRPr="00FB2931" w:rsidRDefault="00FB2931" w:rsidP="00FB29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931" w:rsidRPr="00FB2931" w:rsidRDefault="00FB2931" w:rsidP="00FB29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B2931" w:rsidRPr="00FB2931" w:rsidRDefault="00FB2931" w:rsidP="00FB29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A4D0F" w:rsidRPr="00FB2931" w:rsidRDefault="005A4D0F" w:rsidP="00FB293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0F" w:rsidRDefault="005A4D0F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505D8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2 </w:t>
            </w:r>
            <w:r w:rsidR="00A33C3A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RESTITUTION DES OEUVRES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505D8">
        <w:trPr>
          <w:trHeight w:val="14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2-1 Respect du texte musical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Paramètres solfégiques (nuances, tempi, phrasés, articulations, notes, rythmes, tonalités, etc.)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Paramètres esthétiques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505D8">
        <w:trPr>
          <w:trHeight w:val="14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2-2 Respect de la nomenclature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Application pour les </w:t>
            </w:r>
            <w:r w:rsidR="0038660E">
              <w:rPr>
                <w:rFonts w:ascii="Calibri" w:eastAsia="Calibri" w:hAnsi="Calibri" w:cs="Calibri"/>
                <w:sz w:val="20"/>
                <w:szCs w:val="20"/>
              </w:rPr>
              <w:t>niveaux le requérant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Pertinence des adaptations pour les </w:t>
            </w:r>
            <w:r w:rsidR="0038660E">
              <w:rPr>
                <w:rFonts w:ascii="Calibri" w:eastAsia="Calibri" w:hAnsi="Calibri" w:cs="Calibri"/>
                <w:sz w:val="20"/>
                <w:szCs w:val="20"/>
              </w:rPr>
              <w:t>parties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manquant</w:t>
            </w:r>
            <w:r w:rsidR="0038660E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 rapport à l’</w:t>
            </w:r>
            <w:r w:rsidR="0038660E">
              <w:rPr>
                <w:rFonts w:ascii="Calibri" w:eastAsia="Calibri" w:hAnsi="Calibri" w:cs="Calibri"/>
                <w:sz w:val="20"/>
                <w:szCs w:val="20"/>
              </w:rPr>
              <w:t xml:space="preserve">œuvre originale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pour les autres niveaux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7061F9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1019F3">
              <w:rPr>
                <w:rFonts w:ascii="Calibri" w:eastAsia="Calibri" w:hAnsi="Calibri" w:cs="Calibri"/>
                <w:sz w:val="20"/>
                <w:szCs w:val="20"/>
              </w:rPr>
              <w:t>Justification des adaptations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3C3A" w:rsidTr="00D505D8">
        <w:trPr>
          <w:trHeight w:val="57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:rsid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</w:tcPr>
          <w:p w:rsid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019F3" w:rsidTr="00A33C3A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 </w:t>
            </w:r>
            <w:r w:rsidR="00A33C3A">
              <w:rPr>
                <w:rFonts w:ascii="Calibri" w:eastAsia="Calibri" w:hAnsi="Calibri" w:cs="Calibri"/>
                <w:b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QUALITÉ DE LA PRESTATION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31442">
        <w:trPr>
          <w:trHeight w:val="14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3-1 Qualité de l’interprétation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Convaincante ou pas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Respect du style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Influence de la disposition spatiale des musiciens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Justification de la disposition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31442">
        <w:trPr>
          <w:trHeight w:val="14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3-2 Clarté du discours musical 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Plans sonores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Sens du phrasé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Palette et qualité des nuances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Qualités sonores et timbriques, individuelles ou collectives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Qualité et contenu des improvisations</w:t>
            </w:r>
            <w:r w:rsidR="007061F9">
              <w:rPr>
                <w:rFonts w:ascii="Calibri" w:eastAsia="Calibri" w:hAnsi="Calibri" w:cs="Calibri"/>
                <w:sz w:val="20"/>
                <w:szCs w:val="20"/>
              </w:rPr>
              <w:t xml:space="preserve"> le cas échéant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019F3" w:rsidRPr="005A4D0F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31442">
        <w:trPr>
          <w:trHeight w:val="14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3-3 Qualité des solistes, des pupitres</w:t>
            </w:r>
          </w:p>
          <w:p w:rsidR="001019F3" w:rsidRDefault="001019F3" w:rsidP="00535140">
            <w:pPr>
              <w:spacing w:line="240" w:lineRule="auto"/>
              <w:ind w:left="70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Homogénéité des pupitres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Justesse 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Maîtrise technique et musicale du ou des solistes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Maîtrise de l’improvisation le cas échéant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Equilibre soliste / orchestre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31442">
        <w:trPr>
          <w:trHeight w:val="147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3-4 Qualité de la relation chef/musiciens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Connivence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Complicité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Efficacité de la gestique du chef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33C3A" w:rsidTr="00D505D8">
        <w:trPr>
          <w:trHeight w:val="57"/>
        </w:trPr>
        <w:tc>
          <w:tcPr>
            <w:tcW w:w="2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33C3A" w:rsidRP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33C3A" w:rsidRP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33C3A" w:rsidRP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A33C3A" w:rsidRPr="00A33C3A" w:rsidRDefault="00A33C3A" w:rsidP="00A33C3A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1019F3" w:rsidTr="00D505D8">
        <w:trPr>
          <w:trHeight w:val="54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A33C3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 ATTITUDE, COMPORTEMENT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505D8">
        <w:trPr>
          <w:trHeight w:val="147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4-1 Engagement individuel et collectif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Attention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Concentration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Réactivité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Ecoute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505D8">
        <w:trPr>
          <w:trHeight w:val="147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4-2 Présentation visuelle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Cohérence du choix vestimentaire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Posture (ex. : éviter de croiser les jambes)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Déplacements des musiciens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Justification des différents choix</w:t>
            </w: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019F3" w:rsidTr="00D505D8">
        <w:trPr>
          <w:trHeight w:val="147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4-3 Gestion des imprévus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. Réaction appropriée</w:t>
            </w:r>
          </w:p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Accord en cours de prestation lorsque nécessaire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9F3" w:rsidRDefault="001019F3" w:rsidP="0053514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bookmarkEnd w:id="0"/>
    </w:tbl>
    <w:p w:rsidR="006C5B7B" w:rsidRDefault="006C5B7B">
      <w:pPr>
        <w:spacing w:line="240" w:lineRule="auto"/>
        <w:jc w:val="both"/>
        <w:rPr>
          <w:rFonts w:ascii="Calibri" w:eastAsia="Calibri" w:hAnsi="Calibri" w:cs="Calibri"/>
        </w:rPr>
      </w:pPr>
    </w:p>
    <w:p w:rsidR="006C5B7B" w:rsidRDefault="006C5B7B">
      <w:pPr>
        <w:spacing w:line="240" w:lineRule="auto"/>
        <w:jc w:val="both"/>
        <w:rPr>
          <w:rFonts w:ascii="Calibri" w:eastAsia="Calibri" w:hAnsi="Calibri" w:cs="Calibri"/>
        </w:rPr>
      </w:pPr>
    </w:p>
    <w:p w:rsidR="006C5B7B" w:rsidRDefault="006C5B7B">
      <w:pPr>
        <w:spacing w:after="200" w:line="240" w:lineRule="auto"/>
      </w:pPr>
    </w:p>
    <w:sectPr w:rsidR="006C5B7B" w:rsidSect="00A33C3A">
      <w:footerReference w:type="default" r:id="rId7"/>
      <w:pgSz w:w="16840" w:h="11900" w:orient="landscape" w:code="9"/>
      <w:pgMar w:top="567" w:right="567" w:bottom="567" w:left="567" w:header="34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EB" w:rsidRDefault="001B19EB">
      <w:pPr>
        <w:spacing w:line="240" w:lineRule="auto"/>
      </w:pPr>
      <w:r>
        <w:separator/>
      </w:r>
    </w:p>
  </w:endnote>
  <w:endnote w:type="continuationSeparator" w:id="0">
    <w:p w:rsidR="001B19EB" w:rsidRDefault="001B1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7B" w:rsidRPr="00596BF8" w:rsidRDefault="001B19EB" w:rsidP="00596BF8">
    <w:pPr>
      <w:spacing w:line="240" w:lineRule="auto"/>
      <w:rPr>
        <w:rFonts w:asciiTheme="majorHAnsi" w:hAnsiTheme="majorHAnsi" w:cstheme="majorHAnsi"/>
        <w:sz w:val="12"/>
        <w:szCs w:val="12"/>
      </w:rPr>
    </w:pPr>
    <w:sdt>
      <w:sdtPr>
        <w:rPr>
          <w:rFonts w:asciiTheme="majorHAnsi" w:hAnsiTheme="majorHAnsi" w:cstheme="majorHAnsi"/>
          <w:sz w:val="12"/>
          <w:szCs w:val="12"/>
        </w:rPr>
        <w:id w:val="1357391827"/>
        <w:docPartObj>
          <w:docPartGallery w:val="Page Numbers (Bottom of Page)"/>
          <w:docPartUnique/>
        </w:docPartObj>
      </w:sdtPr>
      <w:sdtEndPr/>
      <w:sdtContent>
        <w:r w:rsidR="00596BF8" w:rsidRPr="00130881">
          <w:rPr>
            <w:rFonts w:asciiTheme="majorHAnsi" w:hAnsiTheme="majorHAnsi" w:cstheme="majorHAnsi"/>
            <w:sz w:val="12"/>
            <w:szCs w:val="12"/>
          </w:rPr>
          <w:t xml:space="preserve">CMF - Concours national d’ensembles musicaux - </w:t>
        </w:r>
        <w:r w:rsidR="00596BF8">
          <w:rPr>
            <w:rFonts w:asciiTheme="majorHAnsi" w:hAnsiTheme="majorHAnsi" w:cstheme="majorHAnsi"/>
            <w:sz w:val="12"/>
            <w:szCs w:val="12"/>
          </w:rPr>
          <w:t>Référentiel</w:t>
        </w:r>
        <w:r w:rsidR="00596BF8" w:rsidRPr="00130881">
          <w:rPr>
            <w:rFonts w:asciiTheme="majorHAnsi" w:hAnsiTheme="majorHAnsi" w:cstheme="majorHAnsi"/>
            <w:sz w:val="12"/>
            <w:szCs w:val="12"/>
          </w:rPr>
          <w:t xml:space="preserve"> d'évaluation - Dernière version à jour </w:t>
        </w:r>
        <w:r w:rsidR="00FB2931">
          <w:rPr>
            <w:rFonts w:asciiTheme="majorHAnsi" w:hAnsiTheme="majorHAnsi" w:cstheme="majorHAnsi"/>
            <w:sz w:val="12"/>
            <w:szCs w:val="12"/>
          </w:rPr>
          <w:t>18 08</w:t>
        </w:r>
        <w:r w:rsidR="00596BF8" w:rsidRPr="00130881">
          <w:rPr>
            <w:rFonts w:asciiTheme="majorHAnsi" w:hAnsiTheme="majorHAnsi" w:cstheme="majorHAnsi"/>
            <w:sz w:val="12"/>
            <w:szCs w:val="12"/>
          </w:rPr>
          <w:t xml:space="preserve"> 2022      </w:t>
        </w:r>
        <w:r w:rsidR="00596BF8">
          <w:rPr>
            <w:rFonts w:asciiTheme="majorHAnsi" w:hAnsiTheme="majorHAnsi" w:cstheme="majorHAnsi"/>
            <w:sz w:val="12"/>
            <w:szCs w:val="12"/>
          </w:rPr>
          <w:t xml:space="preserve">                                                                                                             </w:t>
        </w:r>
        <w:r w:rsidR="00596BF8" w:rsidRPr="00130881">
          <w:rPr>
            <w:rFonts w:asciiTheme="majorHAnsi" w:hAnsiTheme="majorHAnsi" w:cstheme="majorHAnsi"/>
            <w:sz w:val="12"/>
            <w:szCs w:val="12"/>
          </w:rPr>
          <w:t xml:space="preserve">                                                                                                                                                  </w:t>
        </w:r>
        <w:r w:rsidR="00A33C3A">
          <w:rPr>
            <w:rFonts w:asciiTheme="majorHAnsi" w:hAnsiTheme="majorHAnsi" w:cstheme="majorHAnsi"/>
            <w:sz w:val="12"/>
            <w:szCs w:val="12"/>
          </w:rPr>
          <w:t xml:space="preserve">                                                                 </w:t>
        </w:r>
        <w:r w:rsidR="00596BF8" w:rsidRPr="00130881">
          <w:rPr>
            <w:rFonts w:asciiTheme="majorHAnsi" w:hAnsiTheme="majorHAnsi" w:cstheme="majorHAnsi"/>
            <w:sz w:val="12"/>
            <w:szCs w:val="12"/>
          </w:rPr>
          <w:t xml:space="preserve">                                                 </w:t>
        </w:r>
      </w:sdtContent>
    </w:sdt>
    <w:r w:rsidR="00596BF8" w:rsidRPr="00130881">
      <w:rPr>
        <w:rFonts w:asciiTheme="majorHAnsi" w:hAnsiTheme="majorHAnsi" w:cstheme="majorHAnsi"/>
        <w:bCs/>
        <w:sz w:val="12"/>
        <w:szCs w:val="12"/>
      </w:rPr>
      <w:fldChar w:fldCharType="begin"/>
    </w:r>
    <w:r w:rsidR="00596BF8" w:rsidRPr="00130881">
      <w:rPr>
        <w:rFonts w:asciiTheme="majorHAnsi" w:hAnsiTheme="majorHAnsi" w:cstheme="majorHAnsi"/>
        <w:bCs/>
        <w:sz w:val="12"/>
        <w:szCs w:val="12"/>
      </w:rPr>
      <w:instrText>PAGE  \* Arabic  \* MERGEFORMAT</w:instrText>
    </w:r>
    <w:r w:rsidR="00596BF8" w:rsidRPr="00130881">
      <w:rPr>
        <w:rFonts w:asciiTheme="majorHAnsi" w:hAnsiTheme="majorHAnsi" w:cstheme="majorHAnsi"/>
        <w:bCs/>
        <w:sz w:val="12"/>
        <w:szCs w:val="12"/>
      </w:rPr>
      <w:fldChar w:fldCharType="separate"/>
    </w:r>
    <w:r w:rsidR="008F1CCD">
      <w:rPr>
        <w:rFonts w:asciiTheme="majorHAnsi" w:hAnsiTheme="majorHAnsi" w:cstheme="majorHAnsi"/>
        <w:bCs/>
        <w:noProof/>
        <w:sz w:val="12"/>
        <w:szCs w:val="12"/>
      </w:rPr>
      <w:t>2</w:t>
    </w:r>
    <w:r w:rsidR="00596BF8" w:rsidRPr="00130881">
      <w:rPr>
        <w:rFonts w:asciiTheme="majorHAnsi" w:hAnsiTheme="majorHAnsi" w:cstheme="majorHAnsi"/>
        <w:bCs/>
        <w:sz w:val="12"/>
        <w:szCs w:val="12"/>
      </w:rPr>
      <w:fldChar w:fldCharType="end"/>
    </w:r>
    <w:r w:rsidR="00596BF8" w:rsidRPr="00130881">
      <w:rPr>
        <w:rFonts w:asciiTheme="majorHAnsi" w:hAnsiTheme="majorHAnsi" w:cstheme="majorHAnsi"/>
        <w:sz w:val="12"/>
        <w:szCs w:val="12"/>
      </w:rPr>
      <w:t>/</w:t>
    </w:r>
    <w:r w:rsidR="00596BF8" w:rsidRPr="00130881">
      <w:rPr>
        <w:rFonts w:asciiTheme="majorHAnsi" w:hAnsiTheme="majorHAnsi" w:cstheme="majorHAnsi"/>
        <w:bCs/>
        <w:sz w:val="12"/>
        <w:szCs w:val="12"/>
      </w:rPr>
      <w:fldChar w:fldCharType="begin"/>
    </w:r>
    <w:r w:rsidR="00596BF8" w:rsidRPr="00130881">
      <w:rPr>
        <w:rFonts w:asciiTheme="majorHAnsi" w:hAnsiTheme="majorHAnsi" w:cstheme="majorHAnsi"/>
        <w:bCs/>
        <w:sz w:val="12"/>
        <w:szCs w:val="12"/>
      </w:rPr>
      <w:instrText>NUMPAGES  \* Arabic  \* MERGEFORMAT</w:instrText>
    </w:r>
    <w:r w:rsidR="00596BF8" w:rsidRPr="00130881">
      <w:rPr>
        <w:rFonts w:asciiTheme="majorHAnsi" w:hAnsiTheme="majorHAnsi" w:cstheme="majorHAnsi"/>
        <w:bCs/>
        <w:sz w:val="12"/>
        <w:szCs w:val="12"/>
      </w:rPr>
      <w:fldChar w:fldCharType="separate"/>
    </w:r>
    <w:r w:rsidR="008F1CCD">
      <w:rPr>
        <w:rFonts w:asciiTheme="majorHAnsi" w:hAnsiTheme="majorHAnsi" w:cstheme="majorHAnsi"/>
        <w:bCs/>
        <w:noProof/>
        <w:sz w:val="12"/>
        <w:szCs w:val="12"/>
      </w:rPr>
      <w:t>3</w:t>
    </w:r>
    <w:r w:rsidR="00596BF8" w:rsidRPr="00130881">
      <w:rPr>
        <w:rFonts w:asciiTheme="majorHAnsi" w:hAnsiTheme="majorHAnsi" w:cstheme="majorHAnsi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EB" w:rsidRDefault="001B19EB">
      <w:pPr>
        <w:spacing w:line="240" w:lineRule="auto"/>
      </w:pPr>
      <w:r>
        <w:separator/>
      </w:r>
    </w:p>
  </w:footnote>
  <w:footnote w:type="continuationSeparator" w:id="0">
    <w:p w:rsidR="001B19EB" w:rsidRDefault="001B19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7B"/>
    <w:rsid w:val="00045203"/>
    <w:rsid w:val="0009268D"/>
    <w:rsid w:val="000D5975"/>
    <w:rsid w:val="001019F3"/>
    <w:rsid w:val="00137EF4"/>
    <w:rsid w:val="00157E5E"/>
    <w:rsid w:val="00171E39"/>
    <w:rsid w:val="001B19EB"/>
    <w:rsid w:val="002A1A6A"/>
    <w:rsid w:val="002C6001"/>
    <w:rsid w:val="00353E81"/>
    <w:rsid w:val="00363DCF"/>
    <w:rsid w:val="0036644C"/>
    <w:rsid w:val="0038660E"/>
    <w:rsid w:val="004F61CD"/>
    <w:rsid w:val="00535140"/>
    <w:rsid w:val="00560F93"/>
    <w:rsid w:val="00596BF8"/>
    <w:rsid w:val="005A4D0F"/>
    <w:rsid w:val="005D7C1C"/>
    <w:rsid w:val="0062766A"/>
    <w:rsid w:val="006C5B7B"/>
    <w:rsid w:val="007061F9"/>
    <w:rsid w:val="007163FA"/>
    <w:rsid w:val="0075565C"/>
    <w:rsid w:val="0086533A"/>
    <w:rsid w:val="00883D13"/>
    <w:rsid w:val="008F1CCD"/>
    <w:rsid w:val="008F591B"/>
    <w:rsid w:val="00963351"/>
    <w:rsid w:val="00A33C3A"/>
    <w:rsid w:val="00A566F4"/>
    <w:rsid w:val="00AF27EE"/>
    <w:rsid w:val="00BF35AF"/>
    <w:rsid w:val="00D31442"/>
    <w:rsid w:val="00D467EB"/>
    <w:rsid w:val="00D505D8"/>
    <w:rsid w:val="00E65DFC"/>
    <w:rsid w:val="00EA0F20"/>
    <w:rsid w:val="00F256F1"/>
    <w:rsid w:val="00F32CD3"/>
    <w:rsid w:val="00F60B39"/>
    <w:rsid w:val="00FA5A79"/>
    <w:rsid w:val="00F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4F00A-A7F2-DA4E-92B2-AF4945D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67E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7EB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96BF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BF8"/>
  </w:style>
  <w:style w:type="paragraph" w:styleId="Pieddepage">
    <w:name w:val="footer"/>
    <w:basedOn w:val="Normal"/>
    <w:link w:val="PieddepageCar"/>
    <w:uiPriority w:val="99"/>
    <w:unhideWhenUsed/>
    <w:rsid w:val="00596BF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BF8"/>
  </w:style>
  <w:style w:type="paragraph" w:styleId="Paragraphedeliste">
    <w:name w:val="List Paragraph"/>
    <w:basedOn w:val="Normal"/>
    <w:uiPriority w:val="34"/>
    <w:qFormat/>
    <w:rsid w:val="0004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GRIGNON</dc:creator>
  <cp:lastModifiedBy>Caroline RAINETTE</cp:lastModifiedBy>
  <cp:revision>2</cp:revision>
  <cp:lastPrinted>2019-04-18T09:52:00Z</cp:lastPrinted>
  <dcterms:created xsi:type="dcterms:W3CDTF">2022-10-25T13:39:00Z</dcterms:created>
  <dcterms:modified xsi:type="dcterms:W3CDTF">2022-10-25T13:39:00Z</dcterms:modified>
</cp:coreProperties>
</file>